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791CC0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0D5682"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3</w:t>
      </w: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791CC0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791CC0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791CC0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0D5682" w:rsidRPr="00791CC0">
        <w:rPr>
          <w:rFonts w:asciiTheme="minorHAnsi" w:hAnsiTheme="minorHAnsi" w:cs="Times New Roman"/>
          <w:b/>
          <w:sz w:val="22"/>
          <w:szCs w:val="22"/>
        </w:rPr>
        <w:t xml:space="preserve"> ZADANIA NR 3</w:t>
      </w:r>
    </w:p>
    <w:p w:rsidR="00FD453A" w:rsidRPr="00791CC0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992"/>
        <w:gridCol w:w="1843"/>
      </w:tblGrid>
      <w:tr w:rsidR="00175CF6" w:rsidRPr="00791CC0" w:rsidTr="00C45136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175CF6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FD453A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175CF6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4600" w:rsidRPr="00791CC0" w:rsidRDefault="00AE4600" w:rsidP="00C451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 handlowa</w:t>
            </w:r>
          </w:p>
          <w:p w:rsidR="00175CF6" w:rsidRPr="00791CC0" w:rsidRDefault="00AE4600" w:rsidP="00C451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 model</w:t>
            </w: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Zestaw edukacyjny do konstruowania układów elektronicznych za pomocą łączników magnetycznych + bateria słoneczna.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Wymagane elementy zestawu: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zasilania dostosowany do 4 baterii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elementem elektronicznym - 19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uniwersalny z zaciskami - 2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długi - 5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krótki - 15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elastyczny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Kulka węzłowa - 27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Wybrane elementy elektroniczne - 30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Instrukcja + przykładowe schematy elektryczne.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Bateria słoneczna –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Zestaw edukacyjny kurs programowania procesorów 8051.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Wymagane elementy zestawu: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Mikrokomputer służący do nauki programowania procesorów 8051. Układ uproszczony do niezbędnego minimum, gwarantujący swobodne wykorzystanie wszystkich możliwości procesora 8051. Płyta główna składająca się z procesora, zewnętrznych pamięci programu i danych, dekodera adresowego oraz dodatkowych układów: resetu i układu współpracy z portem szeregowym komputera PC.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Druga płytka to moduł zawierający 8−pozycyjny  wyświetlacz 7−segmentowy,  18−klawiszowa klawiaturę wraz z układami dekodującymi  i dopasowującymi  do  współpracy z procesorem 8051.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Trzecia płytka to</w:t>
            </w:r>
            <w:r w:rsidRPr="00791C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zasilacz stabilizowany +5V/500mA niezbędny do prawidłowej pracy mikrokomputera, wraz z transformatorem.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Oprogramowanie</w:t>
            </w:r>
            <w:r w:rsidRPr="00791C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na CD: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 asembler na procesory 8051 w wersji polskiej i angielskiej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 zbiory tekstowe z definicjami rejestrów specjalnych oraz adresów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wykorzystanych w komputerku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 program do generowania i ładowania programów do systemu AVT2250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 szczegółowe omówienie procesora 8051 oraz sposoby jego programowania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 wszystkie lekcje omówione w cyklu „Mikrokontrolery – to takie proste” wraz z całą serią artykułów.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Platforma programistyczna mikrokontrolerów </w:t>
            </w:r>
            <w:proofErr w:type="spellStart"/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™ + zestaw czujników i elementów wykonawczych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Wymagane elementy zestawu: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Atmel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ATmega2560,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Atmel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Mega16U2 zamiast konwertera 8U2 złącza USB - Dane techniczne: napięcie pracy 5V, zew. napięcie zasilania: 7-12V, 54 wyjścia cyfrowe I/O, 15 wyjść cyfrowych z obsługą PWM, 16 wejść analogowych, wydajność prądowa na pin I/O-20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wydajność prądowa na pin 3.3V-50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flash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256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SRAM 8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EEPROM 4 KB, częstotliwość pracy 16 MHz, podłączona dioda LED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pinu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13, interfejsy USB + przewód USB, 4xUART , ICSP , złącze DC do zasilania, przezroczysta obudowa chroniącą 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™, zapewniająca dostęp złącz cyfrowych oraz gwarantująca wentylację układów scalonych.      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ATmega328 w wymiennej obudowie - Dane techniczne:  napięcie, częstotliwość zegara 16 MHz, pamięć SRAM 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Flash 32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EEPROM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14 Portów I/O, 6 wyjść PWM, 6 wejść analogowych 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kanały przetwornika A/C o rozdzielczości 10 bitów, interfejsy szeregowe: UART, SPI, I2C. Podłączona dioda LED na pinie 13. Gniazdo USB A + przewód USB do programowania, złącze DC do zasilania, przezroczysta obudowa chroniącą 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™, zapewniająca dostęp złącz cyfrowych oraz gwarantująca wentylację układów -1szt.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LED "Płynące światło" - NE555+CD4017 - Stroboskop LED – DIY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Matryca LED 8x8 + sterownik MAX7219 - mała 32x32mm, 64 diod LED - 1 szt. 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sterownik PWM - 400W 15A 36V – MOSFET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Konwerter I2C do wyświetlacza LCD HD44780 - 1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Mikrofalowy sensor ruchu; 4-28V; RCWL-0516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przekaźnika 2-kanały - 5V - 10A/250V - z optoizolacją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rozszerzenia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Proto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+ płytka stykowa 170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UNO – 1szt.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śledzenia linii; 5-drożny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tracker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TCRT5000L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Generator sygnału PWM 2-CH; wyświetlacz LCD; XY-LPWM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Sterownik silnika krokowego A4988 -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stepstick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+ radiator– 3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czujnika ruchu - 2-drożny - wysoka czułość - FC-02 V2.0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czasu rzeczywistego DS1302 - precyzyjny zegar RTC z baterią - 1 szt. 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V5.0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UNO, MEGA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Podwozie robota RT-5 + 2 silniki D65 6V z motoreduktorem i kołem 65mm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CAN-BUS na MCP2515 - CAN - SPI TJA1050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Klawiatura dotykowa 4-przyciski TTP224 -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Touch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Czujnik ruchu SW-420 - czujnik wibracji - detektor wstrząsów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Klawiatura membranowa 3x4 - 1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Serwomechanizm z orczykami SG92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TowerPro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2.5kg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Klawiatura TACT 4x4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switch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matryca 16 przycisków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Kontroler RAMPS 1.4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RepRap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sterownik drukarki 3D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ENDSTOP optyczny,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krańcókwa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do RAMPS 1.4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ENDSTOP Mechaniczny, krańcówka do RAMPS 1.4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Panel kontrolny 12864 LCD Controller dla RAMPS 1.4 +Adapter do połączenia z kontrolerem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Ramps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1.4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czytnik RFID RC522 + karta + brelok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Wyświetlacz 8 cyfr LED 7seg na MAX7219 moduł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37 czujników modułów - detektorów dla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składający się z: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buzzerem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pasywnym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dwukolorową 5mm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wstrząsów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fotorezystorem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przełącznikiem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przechyłu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trójkolorową SMD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emisji podczerwieni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trójkolorową THT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położenia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matową diodą dwukolorową 3mm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aktywnym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buzzerem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temperatury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migającą diodą dwukolorową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kontaktronem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czujnikiem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halla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(pola magnetycznego)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podczerwieni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pola magnetycznego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przechyłu i diodą LED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obrotowym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szczelinowym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Moduł z czujnikiem pulsu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Elementy elektryczne i elektroniczne zestaw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Wymagane wyposażenie zestawu, ilości podane są na jeden komplet :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Potencjometr obrotowy 1kΩ liniowy 1/8W raster 5 mm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Potencjometry obrotowe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kΩ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liniowy raster 5 mm THT- 3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Potencjometry obrotowe 100kΩ A THT - 1szt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"Przyciski typu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Tact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Switch 6x6mm / 8mm THT - 5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Przycisk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Tact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Switch 6x6mm / 4,3mm THT - 5szt"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Czujnik temperatury TMP36GT9Z od -40 °C do +120 °C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Wyświetlacz LCD 2x16 znaków niebieski ze złączami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biała Jasność: 15 000 mcd 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czerwona THT - 10szt.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zielona THT- 10szt.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żółta THT- 10szt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niebieska THT-  5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fioletowa THT- 5szt.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LED 5mm trójkolorowa RGB 5000mcd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LED 5mm trójkolorowa RGB 5000mcd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Diody 1N4007 , 1N4148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THTpo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Zenera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BZX85C5V6 THT - 10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1,5KE24CA THT- 1,5kW; 24V; 45A; DO201 - 2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Mostek prostowniczy KBU10M - 1000 V / 10A - płaski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Mostek prostowniczy KBPC5010 - 1000V / 50A - z konektorami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"Fotorezystor 5-10kΩ GL5616 THT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Fotorezystor 10-20kΩ GL5528 THT - 2 szt."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Zestaw 64 wartości rezystorów THT 0,25 W 5 %,: 0 Ω, 10Ω, 12Ω, 15Ω, 18Ω, 22Ω, 27Ω, 33Ω, 39Ω, 47Ω, 56Ω, 68Ω, 82Ω, 100Ω, 120Ω, 150Ω, 180Ω, 220Ω, 270Ω, 330Ω, 390Ω, 470Ω, 560Ω, 680Ω, 820Ω, 1kΩ, 1,2kΩ, 1,5kΩ, 1,8kΩ, 2,2kΩ, 2,7kΩ, 3,3kΩ, 3,9kΩ, 4,7kΩ, 5,6kΩ, 6,8kΩ, 8,2kΩ, 10kΩ, 12kΩ, 15kΩ, 18kΩ, 22kΩ, 27kΩ, 33kΩ, 39kΩ, 47kΩ, 56kΩ, 68kΩ, 82kΩ, 100kΩ, 120kΩ, 150kΩ, 180kΩ, 220kΩ, 270kΩ, 330kΩ, 390kΩ, 470kΩ, 560kΩ, 680kΩ, 820kΩ, 1MΩ, 2,2MΩ, 10 MΩ, po 10 sztuk każdego.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Zestaw 12 wartości kondensatorów elektrolitycznych na różne napięcia i temperaturze pracy do 105 °C THT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100 V; 2,2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50 V; 4,7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50 V;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47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220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35 V; 470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16 V;1000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35 V; 2200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4700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 - po 10 sztuk każdego."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10 wartości kondensatorów ceramicznych 50V THT po 10 sztuk: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33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470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4,7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Termistor NTC 100 kom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IRFZ44NPBF N-MOSFET; TO220AB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NPN BC547 45V/100mA THT  - 10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NPN BC337-40 45V/0.8A THT 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Tranzystory N-MOSFET IRF520NPBF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N-MOSFET BUZ11A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odbiciowy KTIR0711S SMD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TCRT1000 32V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odbiciowy CNY70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Fototranzystor TEPT4400 3mm 570nm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Fototranzystor TEPT4400 3mm 570nm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Komparator jednokanałowy LM311P - THT DIP8 - 1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Komparator analogowy LM339 -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Komparator dwukanałowy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Low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-Power LM393N - THT DIP8 - 1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Układ scalony 4060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Generator+licznik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DIP16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Układ scalony 4027 podwójny przerzutnik JK DIP14 THT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Układ scalony 4077 DIP14 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Stabilizator napięcia  LM723CN liniowy, regulowany; 2÷37V; 0,15A; DIP14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LM7812ACT Stabilizator napięcia; liniowy, nieregulowany; 12V; 1A; TO220;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Mikrokontroler AVR - ATtiny13A-PU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AVR - ATmega328P-PU DIP +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bootloader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Źródło napięcia odniesienia LM385Z-2.5 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Źródło napięcia odniesienia LM385Z-1.2 - 1,235V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Rejestr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przesówny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74HC595 DIP16 THT - 1szt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z przyciskiem 20 impulsów 12mm - EC11 THT -1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24 impulsy 12mm - EC12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z przyciskiem 30 impulsów 10mm - EC20 THT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Prototypowa płytka stykowa.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Prototypowa płytka stykowa 830 otworów + moduł zasilający z napięciem wyjściowym 3,3 V lub 5 V, prąd 800mA, gniazdo 5,5 / 2,1 mm złącze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miniUSB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: 5 V + Zasilacz impulsowy 12V / 3A - wtyk DC 5,5 / 2,5mm.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Zestaw przewodów do płytek stykowych.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10cm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10cm 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żeńsko-żeńskie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żeńsko-żeńskie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5 szt. w różnych kolorach o długości 25 cm zakończonych złączem z haczykiem.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Zestaw łączówek do płytek stykowych.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składający się z 140  zworek połączeniowych do płytek stykowych, rożnego koloru i długości (2, 5, 7, 10, 12, 15, 17, 20, 22, 25, 50, 75, 100, 125 mm). 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. + złącza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goldpin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raster 2,54mm: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kątowa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podwójna prosta 2x40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podwójna kątowa 2x40 - 1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żeńska pojedyncza prosta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żeńska podwójna prosta 2x40 - 1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niebieska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biała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żółta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czarna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czerwona - 2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Przewody elektryczne łączeniowe zasilające i silikonowe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Przewód w gumie H07RN-F/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OnPd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3x1,5mm - 8,5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mb</w:t>
            </w:r>
            <w:proofErr w:type="spellEnd"/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Przewód uniwersalny, pomiarowy 19A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zakończony obustronnie wtykami banan o średnicy 4mm ze współosiowym gniazdem bananowym o średnicy 4 mm.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przewód 1,0 mm</w:t>
            </w:r>
            <w:r w:rsidRPr="00791CC0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2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o długości 1m – 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kolory czarny-55szt.; czerwony-50szt.; żółty-15szt.; niebieski-15szt; zielony-15szt.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KABEL SKRĘTKA UTP CAT 6E CU - 25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mb</w:t>
            </w:r>
            <w:proofErr w:type="spellEnd"/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Listwa zasilająca z filtrem przeciwprzepięciowym i automatycznym bezpiecznikiem, 5 gniazdek, długość przewodu 3 m.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Złączki, konektory, koszulki, taśma izolacyjna zestaw: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2,8 mm- 20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Konektor damski nieizolowany 2,8 mm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4,8mm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damski nieizolowany 4,8 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6,3mm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damski nieizolowany 6,3 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Wtyk sieciowy RJ45 - 10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rozgałęźny żeński/męski 6,3mm,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nieizolo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- 5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0,5mm²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0,75mm²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1,0mm² -20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 nieizolowana przekrój przewodu: 1,5mm²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Pin męski do obudowy gniazda raster 2,54mm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Pin żeński do obudowy gniazda raster 2,54mm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Złącze typu BLS - gniazdo 1x1 - 10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Złącze typu BLS - gniazdo 2x1 - 10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1,6/0,8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2,4/1,2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3,2/1,6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Taśma izolacyjna 19mm x 33m czarna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Taśma izolacyjna 19mm x 33m czerwona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Opaski zaciskowe o wymiarach: - 50 szt.  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2,5 x 150 mm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3,5 x 200 mm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4,8 x 300 mm 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Cyna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Cynel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LC60 100g / 1.50 mm.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Topnik RF800 15ml - 1 szt. 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Mata antystatyczna + opaska + 2 zatrzaski + 2 kable.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bezpieczna mata antystatyczna z 2 zatrzaskami;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wymiary: 0.6m x 0.9m; grubość 2mm;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2 warstwy: rozpraszająca szara, przewodząca czarna;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rezystancja powierzchniowa: 107 - 109om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materiał: elastyczny syntetyczny kauczuk;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mata odporna na chemikalia;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antyrefleksyjna;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antypoślizgowa;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w zestawie: 2 przewody spiralne; opaska antystatyczna na rękę; 2 krokodylki z gniazdem pod wtyk bananowy;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6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Lutownica.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Grotowa stacja lutownicza o mocy 75 W z regulowaną temperaturą od 200 °C- do 480 °C. Posiada wyświetlacz LED, który pokazuje zadaną temperaturę grota."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3 szt.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Akcesoria do lutowania.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czterech pęset antymagnetycznych z różnymi końcówkami, wykonanych z tworzywa sztucznego o właściwościach antystatycznych, o długości 12 cm - 1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Cyna lutownicza z topnikiem o średnicy 1,00 mm w szpuli o masie 500 g. - 1 szt. 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serwisowy do czyszczenia i naprawy płytek drukowanych nóż, pędzelek, skrobak, haczyk, widełki i szpikulce - 1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Pęseta pomiarowa do elementów SMD - 1 szt. "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3 szt.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791CC0" w:rsidRDefault="00B32734">
      <w:pPr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sectPr w:rsidR="00B32734" w:rsidRPr="00791CC0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6525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791CC0" w:rsidRPr="00791CC0" w:rsidRDefault="00791CC0">
        <w:pPr>
          <w:pStyle w:val="Stopka"/>
          <w:jc w:val="right"/>
          <w:rPr>
            <w:rFonts w:asciiTheme="minorHAnsi" w:hAnsiTheme="minorHAnsi"/>
          </w:rPr>
        </w:pPr>
        <w:r w:rsidRPr="00791CC0">
          <w:rPr>
            <w:rFonts w:asciiTheme="minorHAnsi" w:hAnsiTheme="minorHAnsi"/>
          </w:rPr>
          <w:fldChar w:fldCharType="begin"/>
        </w:r>
        <w:r w:rsidRPr="00791CC0">
          <w:rPr>
            <w:rFonts w:asciiTheme="minorHAnsi" w:hAnsiTheme="minorHAnsi"/>
          </w:rPr>
          <w:instrText>PAGE   \* MERGEFORMAT</w:instrText>
        </w:r>
        <w:r w:rsidRPr="00791CC0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5</w:t>
        </w:r>
        <w:r w:rsidRPr="00791CC0">
          <w:rPr>
            <w:rFonts w:asciiTheme="minorHAnsi" w:hAnsiTheme="minorHAnsi"/>
          </w:rPr>
          <w:fldChar w:fldCharType="end"/>
        </w:r>
      </w:p>
    </w:sdtContent>
  </w:sdt>
  <w:p w:rsidR="00791CC0" w:rsidRDefault="00791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682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5A76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0AC2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012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21DB"/>
    <w:rsid w:val="007230D4"/>
    <w:rsid w:val="007245D1"/>
    <w:rsid w:val="00724B65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1CC0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75E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7BD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1822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0B5D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078C0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142"/>
    <w:rsid w:val="00C44ACF"/>
    <w:rsid w:val="00C45136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31AE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2550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56FD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6CDF-4828-4147-9980-5A4AC867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28</cp:revision>
  <dcterms:created xsi:type="dcterms:W3CDTF">2018-05-15T21:14:00Z</dcterms:created>
  <dcterms:modified xsi:type="dcterms:W3CDTF">2018-06-01T11:10:00Z</dcterms:modified>
</cp:coreProperties>
</file>